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E4C" w:rsidRDefault="00961A35">
      <w:pPr>
        <w:rPr>
          <w:color w:val="3A3A3A"/>
          <w:sz w:val="36"/>
          <w:szCs w:val="36"/>
        </w:rPr>
      </w:pPr>
      <w:r>
        <w:rPr>
          <w:color w:val="3A3A3A"/>
          <w:sz w:val="36"/>
          <w:szCs w:val="36"/>
        </w:rPr>
        <w:fldChar w:fldCharType="begin"/>
      </w:r>
      <w:r>
        <w:rPr>
          <w:color w:val="3A3A3A"/>
          <w:sz w:val="36"/>
          <w:szCs w:val="36"/>
        </w:rPr>
        <w:instrText xml:space="preserve"> HYPERLINK "</w:instrText>
      </w:r>
      <w:r w:rsidRPr="00961A35">
        <w:rPr>
          <w:color w:val="3A3A3A"/>
          <w:sz w:val="36"/>
          <w:szCs w:val="36"/>
        </w:rPr>
        <w:instrText>http://www.npopss-cn.gov.cn/n1/2016/0927/c219469-28744143.html</w:instrText>
      </w:r>
      <w:r>
        <w:rPr>
          <w:color w:val="3A3A3A"/>
          <w:sz w:val="36"/>
          <w:szCs w:val="36"/>
        </w:rPr>
        <w:instrText xml:space="preserve">" </w:instrText>
      </w:r>
      <w:r>
        <w:rPr>
          <w:color w:val="3A3A3A"/>
          <w:sz w:val="36"/>
          <w:szCs w:val="36"/>
        </w:rPr>
        <w:fldChar w:fldCharType="separate"/>
      </w:r>
      <w:r w:rsidRPr="00B74D33">
        <w:rPr>
          <w:rStyle w:val="a5"/>
          <w:sz w:val="36"/>
          <w:szCs w:val="36"/>
        </w:rPr>
        <w:t>http://www.npopss-cn.gov.cn/n1/2016/0927/c219469-28744143.html</w:t>
      </w:r>
      <w:r>
        <w:rPr>
          <w:color w:val="3A3A3A"/>
          <w:sz w:val="36"/>
          <w:szCs w:val="36"/>
        </w:rPr>
        <w:fldChar w:fldCharType="end"/>
      </w:r>
    </w:p>
    <w:p w:rsidR="00961A35" w:rsidRDefault="00961A35">
      <w:pPr>
        <w:rPr>
          <w:color w:val="3A3A3A"/>
          <w:sz w:val="36"/>
          <w:szCs w:val="36"/>
        </w:rPr>
      </w:pPr>
      <w:bookmarkStart w:id="0" w:name="_GoBack"/>
      <w:bookmarkEnd w:id="0"/>
    </w:p>
    <w:p w:rsidR="00BC3E4C" w:rsidRDefault="00961A35" w:rsidP="00FA2631">
      <w:pPr>
        <w:jc w:val="center"/>
        <w:rPr>
          <w:color w:val="3A3A3A"/>
          <w:sz w:val="36"/>
          <w:szCs w:val="36"/>
        </w:rPr>
      </w:pPr>
      <w:r>
        <w:rPr>
          <w:rFonts w:hint="eastAsia"/>
          <w:color w:val="3A3A3A"/>
          <w:sz w:val="36"/>
          <w:szCs w:val="36"/>
        </w:rPr>
        <w:t>《国家社会科学基金项目资金管理办法》具体执行有关事项问答</w:t>
      </w:r>
      <w:r>
        <w:rPr>
          <w:rFonts w:hint="eastAsia"/>
          <w:color w:val="3A3A3A"/>
          <w:sz w:val="36"/>
          <w:szCs w:val="36"/>
        </w:rPr>
        <w:br/>
      </w:r>
      <w:r>
        <w:rPr>
          <w:rFonts w:hint="eastAsia"/>
          <w:color w:val="3A3A3A"/>
          <w:sz w:val="36"/>
          <w:szCs w:val="36"/>
        </w:rPr>
        <w:br/>
        <w:t>（2016年9月）</w:t>
      </w:r>
    </w:p>
    <w:p w:rsidR="002A29BF" w:rsidRDefault="00961A35" w:rsidP="00BC3E4C">
      <w:pPr>
        <w:jc w:val="center"/>
        <w:rPr>
          <w:b/>
          <w:bCs/>
          <w:color w:val="005BA2"/>
        </w:rPr>
      </w:pPr>
      <w:r>
        <w:rPr>
          <w:rFonts w:hint="eastAsia"/>
          <w:b/>
          <w:bCs/>
          <w:color w:val="005BA2"/>
        </w:rPr>
        <w:t>2016年09月27日11:57</w:t>
      </w:r>
    </w:p>
    <w:p w:rsidR="00961A35" w:rsidRDefault="00961A35" w:rsidP="00961A35">
      <w:pPr>
        <w:pStyle w:val="a3"/>
        <w:spacing w:line="432" w:lineRule="auto"/>
        <w:ind w:firstLine="480"/>
        <w:rPr>
          <w:color w:val="3A3A3A"/>
          <w:sz w:val="21"/>
          <w:szCs w:val="21"/>
        </w:rPr>
      </w:pPr>
      <w:r>
        <w:rPr>
          <w:rFonts w:hint="eastAsia"/>
          <w:color w:val="3A3A3A"/>
          <w:sz w:val="21"/>
          <w:szCs w:val="21"/>
        </w:rPr>
        <w:t>近日，财政部、全国社科规划领导小组联合修订印发了</w:t>
      </w:r>
      <w:proofErr w:type="gramStart"/>
      <w:r>
        <w:rPr>
          <w:rFonts w:hint="eastAsia"/>
          <w:color w:val="3A3A3A"/>
          <w:sz w:val="21"/>
          <w:szCs w:val="21"/>
        </w:rPr>
        <w:t>《</w:t>
      </w:r>
      <w:proofErr w:type="gramEnd"/>
      <w:r>
        <w:rPr>
          <w:rFonts w:hint="eastAsia"/>
          <w:color w:val="3A3A3A"/>
          <w:sz w:val="21"/>
          <w:szCs w:val="21"/>
        </w:rPr>
        <w:t>国家社会科学基金项目资金管理办法（财教〔2016〕304号，以下简称</w:t>
      </w:r>
      <w:proofErr w:type="gramStart"/>
      <w:r>
        <w:rPr>
          <w:rFonts w:hint="eastAsia"/>
          <w:color w:val="3A3A3A"/>
          <w:sz w:val="21"/>
          <w:szCs w:val="21"/>
        </w:rPr>
        <w:t>《</w:t>
      </w:r>
      <w:proofErr w:type="gramEnd"/>
      <w:r>
        <w:rPr>
          <w:rFonts w:hint="eastAsia"/>
          <w:color w:val="3A3A3A"/>
          <w:sz w:val="21"/>
          <w:szCs w:val="21"/>
        </w:rPr>
        <w:t>资金管理办法</w:t>
      </w:r>
      <w:proofErr w:type="gramStart"/>
      <w:r>
        <w:rPr>
          <w:rFonts w:hint="eastAsia"/>
          <w:color w:val="3A3A3A"/>
          <w:sz w:val="21"/>
          <w:szCs w:val="21"/>
        </w:rPr>
        <w:t>》</w:t>
      </w:r>
      <w:proofErr w:type="gramEnd"/>
      <w:r>
        <w:rPr>
          <w:rFonts w:hint="eastAsia"/>
          <w:color w:val="3A3A3A"/>
          <w:sz w:val="21"/>
          <w:szCs w:val="21"/>
        </w:rPr>
        <w:t>）。为了帮助社科界广大专家学者、项目责任单位和有关管理部门更好地理解和执行《资金管理办法》，现就国家社科基金项目资金使用和管理中需要注意的问题解答如下。</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一、把项目资金分为直接费用和间接费用的主要考虑是什么？</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资金管理办法》的最大变化之一是把项目资金分为直接费用和间接费用。近些年来，社科界不少专家学者和项目责任单位反映，原《经费管理办法》对责任单位间接成本和管理费用的补偿不足，承担研究任务的科研人员也难以从项目经费中获得激励。现《资金管理办法》以间接费用形式完善了对责任单位间接成本和管理费用的补偿，以绩效支出形式提供了对科研人员的激励。这有利于进一步营造良好科研环境，激发社科界广大专家学者的积极性和创造性，更好地推动哲学社会科学繁荣发展。</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二、直接费用包括哪些开支科目，如何管理和使用？</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直接费用是指在项目研究过程中发生的与之直接相关的费用，根据资金用途不同，具体分为8个开支科目：资料费、数据采集费、会议费/差旅费/国际合作交流费、设备费、</w:t>
      </w:r>
      <w:r>
        <w:rPr>
          <w:rFonts w:hint="eastAsia"/>
          <w:color w:val="3A3A3A"/>
          <w:sz w:val="21"/>
          <w:szCs w:val="21"/>
        </w:rPr>
        <w:lastRenderedPageBreak/>
        <w:t>专家咨询费、劳务费、印刷出版费和其他支出。直接费用所有开支科目均不设比例限制，由项目负责人按照项目研究实际需要编制，并按照国家有关规定开支。直接费用纳入责任单位财务统一管理，单独核算，专款专用。</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三、哪些费用可以列支资料费？</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项目研究过程中需要支付的图书（包括外文图书）购置费，资料收集、整理、复印、翻拍、翻译费，专用软件购买费，文献检索费等，均可列支资料费。相比原《经费管理办法》，资料费开支范围增加了文献检索费，并明确纳入外文图书购置费。</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四、数据采集费开支范围有哪些？</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数据采集费指在项目研究过程中发生的调查、访谈、数据购买、数据分析及相应技术服务购买等支出的费用。一般而言，社会科学各学科研究需要进行数据采集，既包括直接收集一手数据，也包括购买二手数据及相应的数据分析服务。相比原《经费管理办法》，数据采集费开支范围增加了数据购买、数据分析及相应技术服务购买支出。</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五、会议费/差旅费/国际合作与交流费如何使用?</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1.把原《经费管理办法》会议费、差旅费、国际合作与交流费合并为一个科目，项目研究过程中开展学术研讨、咨询交流、考察调研等活动而发生的会议、交通、食宿等费用，以及项目研究人员出国及赴港澳台、外国专家来华及港澳台专家来内地开展学术合作与交流的费用，均可列支。</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2.会议费/差旅费/国际合作与交流费由项目负责人按照项目研究实际需要编制预算。这三项费用合计不超过直接费用20%的，不需要提供预算测算依据；超过直接费用20%的，需要对计划开展的会议、调研、国际合作与交流等所需经费情况</w:t>
      </w:r>
      <w:proofErr w:type="gramStart"/>
      <w:r>
        <w:rPr>
          <w:rFonts w:hint="eastAsia"/>
          <w:color w:val="3A3A3A"/>
          <w:sz w:val="21"/>
          <w:szCs w:val="21"/>
        </w:rPr>
        <w:t>作出</w:t>
      </w:r>
      <w:proofErr w:type="gramEnd"/>
      <w:r>
        <w:rPr>
          <w:rFonts w:hint="eastAsia"/>
          <w:color w:val="3A3A3A"/>
          <w:sz w:val="21"/>
          <w:szCs w:val="21"/>
        </w:rPr>
        <w:t>具体说明。</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lastRenderedPageBreak/>
        <w:t>3.会议费/差旅费/国际合作与交流费应当按照国家对于高校和科研院所差旅、会议、出国管理有关规定和标准开支。为了准确编制预算，该科目可大体分为会议费、差旅费、国际合作与交流费三个子项，但在经费使用过程中，完全由项目负责人自主统筹使用。</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六、开支设备费应当注意什么？</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1.项目研究过程中购置设备和设备耗材、升级维护现有设备以及租用外单位设备而发生的费用，可列支设备费。</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2.设备费开支应当与项目研究密切相关，严格控制设备购置，严禁重复购置、过度购置，鼓励共享、租赁以及对现有设备进行升级。</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3.设备要和办公用品区别开来，一般来说，电脑、打印机、复印机、数码相机及其耗材等属于设备，笔墨纸张、文件夹等属于办公用品。</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4.使用项目资金购置的设备属于国有资产，按照国有资产管理有关规定统一管理。</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七、什么是专家咨询费，对支付对象有何要求？</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专家咨询费是指在项目研究过程中支付给临时聘请的咨询专家的费用，支出标准应当按照国家有关规定执行。一般来说，支出咨询费需满足两个条件：一是支付对象确实属于项目研究领域的专家；二是支付对象切实发挥了咨询作用，推动了项目研究的顺利开展。需要注意的是，专家咨询费不得支付给本课题组成员以及履行项目管理职务行为的相关工作人员。</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八、劳务费开支范围有何变化，标准如何确定？</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《资金管理办法》扩大了劳务费开支范围，在参与项目研究的在校研究生等人员的基础上，增加了博士后、访问学者、项目聘用研究人员和科研辅助人员，并将临时聘用人员</w:t>
      </w:r>
      <w:r>
        <w:rPr>
          <w:rFonts w:hint="eastAsia"/>
          <w:color w:val="3A3A3A"/>
          <w:sz w:val="21"/>
          <w:szCs w:val="21"/>
        </w:rPr>
        <w:lastRenderedPageBreak/>
        <w:t>的社会保险补助费用纳入劳务费开支范围。同时规定，劳务费预算不设比例限制，按照项目研究实际需要编制。项目聘用人员的劳务费开支标准参照当地科学研究和技术服务业人员平均工资水平以及在项目研究中承担的工作任务确定。</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对以上规定应当全面准确理解：第一，劳务费支付对象必须直接参与项目研究或者参与调查访谈、考古发掘、科学实验等科研辅助活动。第二，劳务费支付对象包括研究生、博士后、访问学者以及项目聘用的研究人员、科研辅助人员等。第三，项目负责人应当综合考虑项目研究实际需要，科学合理编制劳务费预算。</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九、支出印刷出版费有什么要求？</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在项目研究过程中支付的打印费、印刷费及阶段性成果出版费，可列支印刷出版费。需要注意的是，国家社科基金项目资金不得支出论文发表版面费，此类支出不得列支印刷出版费。另外，除后期资助项目、中华学术外</w:t>
      </w:r>
      <w:proofErr w:type="gramStart"/>
      <w:r>
        <w:rPr>
          <w:rFonts w:hint="eastAsia"/>
          <w:color w:val="3A3A3A"/>
          <w:sz w:val="21"/>
          <w:szCs w:val="21"/>
        </w:rPr>
        <w:t>译项目</w:t>
      </w:r>
      <w:proofErr w:type="gramEnd"/>
      <w:r>
        <w:rPr>
          <w:rFonts w:hint="eastAsia"/>
          <w:color w:val="3A3A3A"/>
          <w:sz w:val="21"/>
          <w:szCs w:val="21"/>
        </w:rPr>
        <w:t>外，国家社科基金其他类别项目的最终成果出版费也不得列支印刷出版费。</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十、其他支出如何列支？</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其他支出属于项目预算的“兜底科目”，项目研究过程中发生的除上述7个科目之外的其他支出均可列支。需注意两个问题：一是其他支出中的各项具体支出应当在填报项目预算时单独列示，单独核定。二是其他支出一般包括笔墨纸张等办公用品费、通讯费、互联网服务费等支出。</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十一、间接费用如何核定和使用？</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1.间接费用使用包括三个方面，即补偿责任单位为项目研究提供的现有仪器设备及房屋、水、电、气、暖消耗等间接成本，管理费用，以及为提高科研工作绩效而安排的绩效</w:t>
      </w:r>
      <w:r>
        <w:rPr>
          <w:rFonts w:hint="eastAsia"/>
          <w:color w:val="3A3A3A"/>
          <w:sz w:val="21"/>
          <w:szCs w:val="21"/>
        </w:rPr>
        <w:lastRenderedPageBreak/>
        <w:t>支出。间接费用由责任单位结合实际情况，在综合考虑单位与个人、当前与长远、激励与约束等关系的基础上，统筹管理使用。</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2.间接费用采用分段超额累退比例法计算，按照不超过项目资助总额的一定比例核定。具体比例如下：50万元及以下部分为30%；超过50万元至500万元的部分为20%；超过500万元的部分为13%。比如，2016年年度项目、青年项目和西部项目资助总额均为20万元，间接费用为20×30%=6（万元）；重大项目资助总额为80万元，间接费用为50×30%+（80-50）×20%=21（万元）。</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3.间接费用核定与责任单位信用等级挂钩，具体管理规定在《资金管理办法》实施一段时间以后，根据工作需要另行制定。</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4.责任单位不得在核定的间接费用以外再以任何名义在项目资金中重复提取、列支相关费用。</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十二、绩效支出如何核定？</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绩效支出由责任单位在核定的间接费用范围内安排。责任单位在核定绩效支出时需注意以下几点：第一，要处理好间接成本和绩效支出的关系，在制定本单位间接费用使用和管理相关制度时，应充分听取科研人员的意见，防止片面化、简单化。第二，坚持公平公正，绩效奖励应当与科研人员在项目工作中的实际贡献相一致。第三，坚持分期安排，要结合项目研究进度和完成质量来安排绩效支出，发挥好绩效支出的奖优惩</w:t>
      </w:r>
      <w:proofErr w:type="gramStart"/>
      <w:r>
        <w:rPr>
          <w:rFonts w:hint="eastAsia"/>
          <w:color w:val="3A3A3A"/>
          <w:sz w:val="21"/>
          <w:szCs w:val="21"/>
        </w:rPr>
        <w:t>怠</w:t>
      </w:r>
      <w:proofErr w:type="gramEnd"/>
      <w:r>
        <w:rPr>
          <w:rFonts w:hint="eastAsia"/>
          <w:color w:val="3A3A3A"/>
          <w:sz w:val="21"/>
          <w:szCs w:val="21"/>
        </w:rPr>
        <w:t>作用。</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十三、项目资金预算编制和审核程序是怎样的？</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1．国家社科基金项目批准立项后，全国社科规划办将发出立项通知和项目资金预算表。项目负责人应当在收到立项通知之日起30日内完成预算编制。无特殊情况，逾期不提交的，视为自动放弃资助。</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lastRenderedPageBreak/>
        <w:t>2.项目负责人应当按照目标相关性、政策相符性和经济合理性原则，根据项目研究需要和资金开支范围，科学合理、实事求是地编制项目预算，并按要求在项目预算</w:t>
      </w:r>
      <w:proofErr w:type="gramStart"/>
      <w:r>
        <w:rPr>
          <w:rFonts w:hint="eastAsia"/>
          <w:color w:val="3A3A3A"/>
          <w:sz w:val="21"/>
          <w:szCs w:val="21"/>
        </w:rPr>
        <w:t>表相应</w:t>
      </w:r>
      <w:proofErr w:type="gramEnd"/>
      <w:r>
        <w:rPr>
          <w:rFonts w:hint="eastAsia"/>
          <w:color w:val="3A3A3A"/>
          <w:sz w:val="21"/>
          <w:szCs w:val="21"/>
        </w:rPr>
        <w:t>栏目说明主要用途和测算理由。编制预算时，不考虑不可预见因素、前期投入、预留资金及配套经费。</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3.责任单位科研和财务管理部门对项目预算进行审核，按要求填写相关内容，报所在省区市社科规划办或在京委托管理机构审核后，提交全国社科规划办审核。</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4.项目资金预算通过审核后，即成为有约束力的项目资金使用和管理依据，项目负责人应当严格执行，不能随意变更。项目资金预算未通过审核的，应当按要求调整后重新上报。</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十四、项目资金如何支付？</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国家社科基金项目资金的资金支付执行国库集中支付制度。属于政府采购范围的，应当按照政府采购有关规定执行。项目资金按照项目类别和完成期限分期分批支付。项目资金实行预留资金制度，预留部分资金在项目成果通过审核验收后支付，2016年项目资金预留比例为5%。未通过审核验收的项目，预留资金不予支付。</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十五、项目资金能否外拨，如何外拨？</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1.跨单位合作的项目，</w:t>
      </w:r>
      <w:proofErr w:type="gramStart"/>
      <w:r>
        <w:rPr>
          <w:rFonts w:hint="eastAsia"/>
          <w:color w:val="3A3A3A"/>
          <w:sz w:val="21"/>
          <w:szCs w:val="21"/>
        </w:rPr>
        <w:t>确需外拨资金</w:t>
      </w:r>
      <w:proofErr w:type="gramEnd"/>
      <w:r>
        <w:rPr>
          <w:rFonts w:hint="eastAsia"/>
          <w:color w:val="3A3A3A"/>
          <w:sz w:val="21"/>
          <w:szCs w:val="21"/>
        </w:rPr>
        <w:t>的，应当在项目预算中单独列示，并</w:t>
      </w:r>
      <w:proofErr w:type="gramStart"/>
      <w:r>
        <w:rPr>
          <w:rFonts w:hint="eastAsia"/>
          <w:color w:val="3A3A3A"/>
          <w:sz w:val="21"/>
          <w:szCs w:val="21"/>
        </w:rPr>
        <w:t>附外拨</w:t>
      </w:r>
      <w:proofErr w:type="gramEnd"/>
      <w:r>
        <w:rPr>
          <w:rFonts w:hint="eastAsia"/>
          <w:color w:val="3A3A3A"/>
          <w:sz w:val="21"/>
          <w:szCs w:val="21"/>
        </w:rPr>
        <w:t>资金直接费用支出预算。</w:t>
      </w:r>
      <w:proofErr w:type="gramStart"/>
      <w:r>
        <w:rPr>
          <w:rFonts w:hint="eastAsia"/>
          <w:color w:val="3A3A3A"/>
          <w:sz w:val="21"/>
          <w:szCs w:val="21"/>
        </w:rPr>
        <w:t>外拨多个</w:t>
      </w:r>
      <w:proofErr w:type="gramEnd"/>
      <w:r>
        <w:rPr>
          <w:rFonts w:hint="eastAsia"/>
          <w:color w:val="3A3A3A"/>
          <w:sz w:val="21"/>
          <w:szCs w:val="21"/>
        </w:rPr>
        <w:t>单位的，需分别编制预算。</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2.间接</w:t>
      </w:r>
      <w:proofErr w:type="gramStart"/>
      <w:r>
        <w:rPr>
          <w:rFonts w:hint="eastAsia"/>
          <w:color w:val="3A3A3A"/>
          <w:sz w:val="21"/>
          <w:szCs w:val="21"/>
        </w:rPr>
        <w:t>费用外拨金额</w:t>
      </w:r>
      <w:proofErr w:type="gramEnd"/>
      <w:r>
        <w:rPr>
          <w:rFonts w:hint="eastAsia"/>
          <w:color w:val="3A3A3A"/>
          <w:sz w:val="21"/>
          <w:szCs w:val="21"/>
        </w:rPr>
        <w:t>，由责任单位和合作研究单位协商确定，但责任单位间接费用</w:t>
      </w:r>
      <w:proofErr w:type="gramStart"/>
      <w:r>
        <w:rPr>
          <w:rFonts w:hint="eastAsia"/>
          <w:color w:val="3A3A3A"/>
          <w:sz w:val="21"/>
          <w:szCs w:val="21"/>
        </w:rPr>
        <w:t>和外拨间接</w:t>
      </w:r>
      <w:proofErr w:type="gramEnd"/>
      <w:r>
        <w:rPr>
          <w:rFonts w:hint="eastAsia"/>
          <w:color w:val="3A3A3A"/>
          <w:sz w:val="21"/>
          <w:szCs w:val="21"/>
        </w:rPr>
        <w:t>费用之和不得超过该项目核定的间接费用。</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lastRenderedPageBreak/>
        <w:t>3.责任单位应当及时按照合作研究协议和审核通过的项目预算转拨合作研究单位资金。</w:t>
      </w:r>
      <w:proofErr w:type="gramStart"/>
      <w:r>
        <w:rPr>
          <w:rFonts w:hint="eastAsia"/>
          <w:color w:val="3A3A3A"/>
          <w:sz w:val="21"/>
          <w:szCs w:val="21"/>
        </w:rPr>
        <w:t>接受外拨资金</w:t>
      </w:r>
      <w:proofErr w:type="gramEnd"/>
      <w:r>
        <w:rPr>
          <w:rFonts w:hint="eastAsia"/>
          <w:color w:val="3A3A3A"/>
          <w:sz w:val="21"/>
          <w:szCs w:val="21"/>
        </w:rPr>
        <w:t>的合作研究单位</w:t>
      </w:r>
      <w:proofErr w:type="gramStart"/>
      <w:r>
        <w:rPr>
          <w:rFonts w:hint="eastAsia"/>
          <w:color w:val="3A3A3A"/>
          <w:sz w:val="21"/>
          <w:szCs w:val="21"/>
        </w:rPr>
        <w:t>是外拨资金</w:t>
      </w:r>
      <w:proofErr w:type="gramEnd"/>
      <w:r>
        <w:rPr>
          <w:rFonts w:hint="eastAsia"/>
          <w:color w:val="3A3A3A"/>
          <w:sz w:val="21"/>
          <w:szCs w:val="21"/>
        </w:rPr>
        <w:t>管理的责任主体，应当依据《资金管理办法》对资金使用予以管理和监督。</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十六、项目预算如何调剂？</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项目负责人应当严格执行批准后的项目预算。确需调剂的，应当按规定报批。考虑到科学研究的探索性和不确定性，《资金管理办法》规定，在项目预算总额不变的情况下，除增</w:t>
      </w:r>
      <w:proofErr w:type="gramStart"/>
      <w:r>
        <w:rPr>
          <w:rFonts w:hint="eastAsia"/>
          <w:color w:val="3A3A3A"/>
          <w:sz w:val="21"/>
          <w:szCs w:val="21"/>
        </w:rPr>
        <w:t>列外</w:t>
      </w:r>
      <w:proofErr w:type="gramEnd"/>
      <w:r>
        <w:rPr>
          <w:rFonts w:hint="eastAsia"/>
          <w:color w:val="3A3A3A"/>
          <w:sz w:val="21"/>
          <w:szCs w:val="21"/>
        </w:rPr>
        <w:t>拨资金以外的所有预算调剂审批事项全部下放到项目责任单位，但会议费/差旅费/国际合作与交流费、专家咨询费、劳务费预算一般不予调增，如有特殊情况确需调增的，应报全国社科规划办审批。责任单位应当按规定及时审批或上报项目预算调剂申请。</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十七、项目资金如何支出和报销？</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责任单位和项目负责人要严格执行《关于中央财政科研项目使用公务卡结算有关事项的通知》（财库[2015]245号）对应当实行 “公务卡”结算的支出，按照中央财政科研项目使用公务卡结算的有关规定执行。专家咨询费、劳务费等支出，原则上应当通过银行转账方式结算，从严控制现金支出事项。</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对于野外考察、数据采集等科研活动中无法取得发票或财政性票据的支出，在确保真实性的前提下，责任单位可按实际发生额予以报销。报销此类费用，应当提供具有收款人签名或手印的凭证以及项目负责人对相关情况的书面说明。</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十八、项目决算应当注意什么？</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1.项目研究完成后，项目负责人应当会同科研、财务、审计、资产等管理部门及时清理账目与资产，如实编制《国家社会科学基金项目结项审批书》中的项目决算表，并附上</w:t>
      </w:r>
      <w:r>
        <w:rPr>
          <w:rFonts w:hint="eastAsia"/>
          <w:color w:val="3A3A3A"/>
          <w:sz w:val="21"/>
          <w:szCs w:val="21"/>
        </w:rPr>
        <w:lastRenderedPageBreak/>
        <w:t>财务部门提供的项目资金开支明细账。项目负责人和责任单位不得随意调账变动支出、随意修改记账凭证。</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 xml:space="preserve">2. </w:t>
      </w:r>
      <w:proofErr w:type="gramStart"/>
      <w:r>
        <w:rPr>
          <w:rFonts w:hint="eastAsia"/>
          <w:color w:val="3A3A3A"/>
          <w:sz w:val="21"/>
          <w:szCs w:val="21"/>
        </w:rPr>
        <w:t>有外拨资金</w:t>
      </w:r>
      <w:proofErr w:type="gramEnd"/>
      <w:r>
        <w:rPr>
          <w:rFonts w:hint="eastAsia"/>
          <w:color w:val="3A3A3A"/>
          <w:sz w:val="21"/>
          <w:szCs w:val="21"/>
        </w:rPr>
        <w:t>的项目，由项目负责人汇总编制项目资金决算，并附上合作研究单位财务、审计部门审核签章后的开支明细账。</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3.项目负责人提交项目资金决算时，应当附上项目预算表及有关项目预算调剂情况的说明。</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十九、项目结余资金如何处理？</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项目研究成果完成并通过审核验收后，剩余的项目资金为结余资金。结余资金留在责任单位，可用于项目最终成果出版及后续研究的直接支出。</w:t>
      </w:r>
      <w:proofErr w:type="gramStart"/>
      <w:r>
        <w:rPr>
          <w:rFonts w:hint="eastAsia"/>
          <w:color w:val="3A3A3A"/>
          <w:sz w:val="21"/>
          <w:szCs w:val="21"/>
        </w:rPr>
        <w:t>若项目</w:t>
      </w:r>
      <w:proofErr w:type="gramEnd"/>
      <w:r>
        <w:rPr>
          <w:rFonts w:hint="eastAsia"/>
          <w:color w:val="3A3A3A"/>
          <w:sz w:val="21"/>
          <w:szCs w:val="21"/>
        </w:rPr>
        <w:t>研究成果通过审核验收2年后结余资金仍有剩余的，应当按原渠道退回。项目成果未通过审核验收的项目，或责任单位信用评价差的，结余资金不得留用。</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二十、项目被终止或撤销后，项目资金如何处理？</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对于因故被终止执行的项目的结余资金，以及因故被撤销的项目的已拨资金，责任单位应当在接到有关通知后30日内按原渠道退回国家社科基金。</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二十一、使用项目资金形成的资产如何管理？</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项目实施过程中，使用项目资金形成的固定资产、无形资产等属于国有资产，应当按照国有资产管理的有关规定执行。</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二十二、项目负责人使用项目资金有何禁止性规定？</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项目负责人应当依法依规使用项目资金，严格遵守“四不得”原则：</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lastRenderedPageBreak/>
        <w:t>1.不得擅自</w:t>
      </w:r>
      <w:proofErr w:type="gramStart"/>
      <w:r>
        <w:rPr>
          <w:rFonts w:hint="eastAsia"/>
          <w:color w:val="3A3A3A"/>
          <w:sz w:val="21"/>
          <w:szCs w:val="21"/>
        </w:rPr>
        <w:t>调整外拨资金</w:t>
      </w:r>
      <w:proofErr w:type="gramEnd"/>
      <w:r>
        <w:rPr>
          <w:rFonts w:hint="eastAsia"/>
          <w:color w:val="3A3A3A"/>
          <w:sz w:val="21"/>
          <w:szCs w:val="21"/>
        </w:rPr>
        <w:t>；</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2.不得利用虚假票据套取资金；</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3.不得通过编造虚假劳务合同、虚构人员名单等方式虚报冒领劳务费和专家咨询费；</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4.不得使用项目资金支付各种罚款、捐款、赞助、投资等。</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二十三、责任单位应当承担哪些管理和服务职责？</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责任单位要认真落实国家有关政策规定，按照权责一致的要求，强化自我约束和自我规范，在服务中加强管理、在管理中做好服务，确保“接得住、管得好”。</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1.责任单位应当制定项目资金内部管理办法，明确审批程序、管理要求和报销规定，落实项目预算调剂、间接费用统筹使用、劳务费分配管理、结余资金使用等管理权限，切实做到有</w:t>
      </w:r>
      <w:proofErr w:type="gramStart"/>
      <w:r>
        <w:rPr>
          <w:rFonts w:hint="eastAsia"/>
          <w:color w:val="3A3A3A"/>
          <w:sz w:val="21"/>
          <w:szCs w:val="21"/>
        </w:rPr>
        <w:t>规</w:t>
      </w:r>
      <w:proofErr w:type="gramEnd"/>
      <w:r>
        <w:rPr>
          <w:rFonts w:hint="eastAsia"/>
          <w:color w:val="3A3A3A"/>
          <w:sz w:val="21"/>
          <w:szCs w:val="21"/>
        </w:rPr>
        <w:t>可依、有序可循，事有人管、</w:t>
      </w:r>
      <w:proofErr w:type="gramStart"/>
      <w:r>
        <w:rPr>
          <w:rFonts w:hint="eastAsia"/>
          <w:color w:val="3A3A3A"/>
          <w:sz w:val="21"/>
          <w:szCs w:val="21"/>
        </w:rPr>
        <w:t>责有人</w:t>
      </w:r>
      <w:proofErr w:type="gramEnd"/>
      <w:r>
        <w:rPr>
          <w:rFonts w:hint="eastAsia"/>
          <w:color w:val="3A3A3A"/>
          <w:sz w:val="21"/>
          <w:szCs w:val="21"/>
        </w:rPr>
        <w:t>负。</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2.责任单位应当加强项目预算审核把关，规范财务支出行为，完善内部风险防控机制，强化资金使用绩效评价，保障资金使用安全规范有效。</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3.责任单位应当建立健全科研财务助理制度，为科研人员在项目预算编制和调剂、经费支出、项目资金决算和验收等方面提供专业化服务。</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4.责任单位应当充分利用信息化手段，建立健全单位内部科研、财务、项目负责人共享的信息平台，提高科研管理效率和便利化程度。</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5.责任单位项目资金管理和使用情况，要自觉接受国家财政、审计、监察部门和全国社科规划办的监督检查。责任单位应当积极配合，如实反映情况，提供有关资料。</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二十四、各省区市社科规划办和在京委托管理机构应当承担哪些管理职责？</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lastRenderedPageBreak/>
        <w:t>在国家社科基金项目三级管理体制中，各省区市社科规划办和在京委托管理机构对本地区本系统项目资金依法合</w:t>
      </w:r>
      <w:proofErr w:type="gramStart"/>
      <w:r>
        <w:rPr>
          <w:rFonts w:hint="eastAsia"/>
          <w:color w:val="3A3A3A"/>
          <w:sz w:val="21"/>
          <w:szCs w:val="21"/>
        </w:rPr>
        <w:t>规</w:t>
      </w:r>
      <w:proofErr w:type="gramEnd"/>
      <w:r>
        <w:rPr>
          <w:rFonts w:hint="eastAsia"/>
          <w:color w:val="3A3A3A"/>
          <w:sz w:val="21"/>
          <w:szCs w:val="21"/>
        </w:rPr>
        <w:t>使用，担负着重要的管理职责。</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1.加强项目预算审核，按照科学、合理、真实的原则，严格审核每年新立项目的资金预算，对审核不合格的项目预算，指出存在的问题，及时退回重新编制；审核合格的，按时报送全国社科规划办。</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2.严格审核项目决算，对照项目预算仔细核对决算，对存在未附财务明细账、决算与预算严重不符、资金使用违规等问题的，及时退回并要求整改。</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3.注重资金日常管理，根据各自实际，对本地区本系统责任单位和项目负责人的资金使用和管理情况进行不定期检查或专项审计。发现问题的，应当及时督促整改，并向全国社科规划办报告。</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二十五、《资金管理办法》在建立健全监管机制方面有哪些新的举措？</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1.建立项目资金使用和管理情况的检查、审计、监督长效机制，建立项目资金绩效评价和结果应用制度，加强项目资金使用效益评估。</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2.建立项目资金使用和管理的承诺机制，责任单位应当承诺依法依规履行项目资金管理的职责，项目负责人应当承诺提供真实的项目信息并认真遵守项目资金管理的有关规定。</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3.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lastRenderedPageBreak/>
        <w:t>4.建立项目资金使用和管理的信息公开机制，责任单位和项目负责人应当在单位内部公开项目预算、预算调剂、决算、项目组人员构成、设备购置、</w:t>
      </w:r>
      <w:proofErr w:type="gramStart"/>
      <w:r>
        <w:rPr>
          <w:rFonts w:hint="eastAsia"/>
          <w:color w:val="3A3A3A"/>
          <w:sz w:val="21"/>
          <w:szCs w:val="21"/>
        </w:rPr>
        <w:t>外拨资金</w:t>
      </w:r>
      <w:proofErr w:type="gramEnd"/>
      <w:r>
        <w:rPr>
          <w:rFonts w:hint="eastAsia"/>
          <w:color w:val="3A3A3A"/>
          <w:sz w:val="21"/>
          <w:szCs w:val="21"/>
        </w:rPr>
        <w:t>、劳务费发放以及间接费用和结余资金使用等情况，自觉接受监督。</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二十六、对违规行为如何处理？</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《资金管理办法》规定，违反本办法规定的，依照《预算法》、《财政违法行为处罚处分条例》等国家有关规定追究法律责任。涉嫌犯罪的，依法移送司法机关处理。</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为了规范和加强国家社科基金项目资金管理，全国社科规划办从2011年开始连续5年组织第三方机构对项目资金预算执行、使用审批、财务审核报销、固定资产管理和结余资金使用等情况进行全面独立审计，发现了一些突出问题，包括以虚假发票报销、支出与项目研究无关费用、课题组成员违规领取劳务费和专家咨询费、支付立项前费用、未经审批对外转拨资金、超预算支出等。各被审计单位按照全国社科规划办要求进行严格整改，对相关责任人员采取了追回违规支出、诫勉谈话、通报批评、撤销行政职务等处理措施，对涉嫌违纪或违法犯罪的，移交纪委或司法机关处理。今后，全国社科规划办将依据《资金管理办法》，继续对项目资金使用和管理情况开展审计。</w:t>
      </w:r>
    </w:p>
    <w:p w:rsidR="00961A35" w:rsidRDefault="00961A35" w:rsidP="00961A35">
      <w:pPr>
        <w:pStyle w:val="a3"/>
        <w:spacing w:line="432" w:lineRule="auto"/>
        <w:ind w:firstLine="480"/>
        <w:rPr>
          <w:rFonts w:hint="eastAsia"/>
          <w:color w:val="3A3A3A"/>
          <w:sz w:val="21"/>
          <w:szCs w:val="21"/>
        </w:rPr>
      </w:pPr>
      <w:r>
        <w:rPr>
          <w:rStyle w:val="a4"/>
          <w:rFonts w:hint="eastAsia"/>
          <w:color w:val="3A3A3A"/>
          <w:sz w:val="21"/>
          <w:szCs w:val="21"/>
        </w:rPr>
        <w:t>二十七、《资金管理办法》适用范围是什么？</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1.《资金管理办法》自2016年9月7日起施行，适用于2016年（含）以后批准立项的国家社科基金各项目类型，以及教育学、艺术学、军事学三个单列学科。国家社科基金其他资助，未制定相关办法的，适用本办法。</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2.2015年（含）以前立项的在</w:t>
      </w:r>
      <w:proofErr w:type="gramStart"/>
      <w:r>
        <w:rPr>
          <w:rFonts w:hint="eastAsia"/>
          <w:color w:val="3A3A3A"/>
          <w:sz w:val="21"/>
          <w:szCs w:val="21"/>
        </w:rPr>
        <w:t>研</w:t>
      </w:r>
      <w:proofErr w:type="gramEnd"/>
      <w:r>
        <w:rPr>
          <w:rFonts w:hint="eastAsia"/>
          <w:color w:val="3A3A3A"/>
          <w:sz w:val="21"/>
          <w:szCs w:val="21"/>
        </w:rPr>
        <w:t>项目，区分以下两种情况：一是《资金管理办法》发布时，项目执行期已结束、进入审核验收环节的项目，按照原《经费管理办法》执行，不作调整。二是尚在执行期内的项目，由责任单位统筹考虑本单位实际情况，并与项目负责人充分协商后，在项目预算总额不变的前提下，自主选择间接费用和绩效支出安排、预算</w:t>
      </w:r>
      <w:r>
        <w:rPr>
          <w:rFonts w:hint="eastAsia"/>
          <w:color w:val="3A3A3A"/>
          <w:sz w:val="21"/>
          <w:szCs w:val="21"/>
        </w:rPr>
        <w:lastRenderedPageBreak/>
        <w:t>科目调剂等事项是否执行《资金管理办法》。如执行新规定，需履行单位内部有关调整审批程序，并符合预算调剂的有关规定。特别是新增间接费用的，责任单位应当逐一征求项目负责人的意见，</w:t>
      </w:r>
      <w:proofErr w:type="gramStart"/>
      <w:r>
        <w:rPr>
          <w:rFonts w:hint="eastAsia"/>
          <w:color w:val="3A3A3A"/>
          <w:sz w:val="21"/>
          <w:szCs w:val="21"/>
        </w:rPr>
        <w:t>按按照</w:t>
      </w:r>
      <w:proofErr w:type="gramEnd"/>
      <w:r>
        <w:rPr>
          <w:rFonts w:hint="eastAsia"/>
          <w:color w:val="3A3A3A"/>
          <w:sz w:val="21"/>
          <w:szCs w:val="21"/>
        </w:rPr>
        <w:t>有关管理规定将项目资金自行分解为直接费用和间接费用。</w:t>
      </w:r>
    </w:p>
    <w:p w:rsidR="00961A35" w:rsidRDefault="00961A35" w:rsidP="00961A35">
      <w:pPr>
        <w:pStyle w:val="a3"/>
        <w:spacing w:line="432" w:lineRule="auto"/>
        <w:ind w:firstLine="480"/>
        <w:rPr>
          <w:rFonts w:hint="eastAsia"/>
          <w:color w:val="3A3A3A"/>
          <w:sz w:val="21"/>
          <w:szCs w:val="21"/>
        </w:rPr>
      </w:pPr>
      <w:r>
        <w:rPr>
          <w:rFonts w:hint="eastAsia"/>
          <w:color w:val="3A3A3A"/>
          <w:sz w:val="21"/>
          <w:szCs w:val="21"/>
        </w:rPr>
        <w:t>3.2015年（含）以前立项的在</w:t>
      </w:r>
      <w:proofErr w:type="gramStart"/>
      <w:r>
        <w:rPr>
          <w:rFonts w:hint="eastAsia"/>
          <w:color w:val="3A3A3A"/>
          <w:sz w:val="21"/>
          <w:szCs w:val="21"/>
        </w:rPr>
        <w:t>研</w:t>
      </w:r>
      <w:proofErr w:type="gramEnd"/>
      <w:r>
        <w:rPr>
          <w:rFonts w:hint="eastAsia"/>
          <w:color w:val="3A3A3A"/>
          <w:sz w:val="21"/>
          <w:szCs w:val="21"/>
        </w:rPr>
        <w:t>项目，确需增</w:t>
      </w:r>
      <w:proofErr w:type="gramStart"/>
      <w:r>
        <w:rPr>
          <w:rFonts w:hint="eastAsia"/>
          <w:color w:val="3A3A3A"/>
          <w:sz w:val="21"/>
          <w:szCs w:val="21"/>
        </w:rPr>
        <w:t>列外</w:t>
      </w:r>
      <w:proofErr w:type="gramEnd"/>
      <w:r>
        <w:rPr>
          <w:rFonts w:hint="eastAsia"/>
          <w:color w:val="3A3A3A"/>
          <w:sz w:val="21"/>
          <w:szCs w:val="21"/>
        </w:rPr>
        <w:t>拨资金的，应当按程序报全国社科规划办审批。在</w:t>
      </w:r>
      <w:proofErr w:type="gramStart"/>
      <w:r>
        <w:rPr>
          <w:rFonts w:hint="eastAsia"/>
          <w:color w:val="3A3A3A"/>
          <w:sz w:val="21"/>
          <w:szCs w:val="21"/>
        </w:rPr>
        <w:t>研</w:t>
      </w:r>
      <w:proofErr w:type="gramEnd"/>
      <w:r>
        <w:rPr>
          <w:rFonts w:hint="eastAsia"/>
          <w:color w:val="3A3A3A"/>
          <w:sz w:val="21"/>
          <w:szCs w:val="21"/>
        </w:rPr>
        <w:t>项目</w:t>
      </w:r>
      <w:proofErr w:type="gramStart"/>
      <w:r>
        <w:rPr>
          <w:rFonts w:hint="eastAsia"/>
          <w:color w:val="3A3A3A"/>
          <w:sz w:val="21"/>
          <w:szCs w:val="21"/>
        </w:rPr>
        <w:t>的外拨资金</w:t>
      </w:r>
      <w:proofErr w:type="gramEnd"/>
      <w:r>
        <w:rPr>
          <w:rFonts w:hint="eastAsia"/>
          <w:color w:val="3A3A3A"/>
          <w:sz w:val="21"/>
          <w:szCs w:val="21"/>
        </w:rPr>
        <w:t xml:space="preserve">，不包含间接费用或管理费。 </w:t>
      </w:r>
    </w:p>
    <w:p w:rsidR="002A29BF" w:rsidRPr="00961A35" w:rsidRDefault="002A29BF" w:rsidP="00961A35">
      <w:pPr>
        <w:pStyle w:val="a3"/>
        <w:spacing w:line="432" w:lineRule="auto"/>
        <w:ind w:firstLine="480"/>
        <w:rPr>
          <w:rFonts w:hint="eastAsia"/>
        </w:rPr>
      </w:pPr>
    </w:p>
    <w:sectPr w:rsidR="002A29BF" w:rsidRPr="00961A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9BF"/>
    <w:rsid w:val="0001105C"/>
    <w:rsid w:val="002A29BF"/>
    <w:rsid w:val="00420E76"/>
    <w:rsid w:val="00961A35"/>
    <w:rsid w:val="00BC3E4C"/>
    <w:rsid w:val="00F91F19"/>
    <w:rsid w:val="00FA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759F"/>
  <w15:chartTrackingRefBased/>
  <w15:docId w15:val="{74B9CF87-DD82-4E4C-A369-A19F77A5D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A29B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A29BF"/>
    <w:rPr>
      <w:b/>
      <w:bCs/>
    </w:rPr>
  </w:style>
  <w:style w:type="character" w:styleId="a5">
    <w:name w:val="Hyperlink"/>
    <w:basedOn w:val="a0"/>
    <w:uiPriority w:val="99"/>
    <w:unhideWhenUsed/>
    <w:rsid w:val="00420E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2415">
      <w:bodyDiv w:val="1"/>
      <w:marLeft w:val="0"/>
      <w:marRight w:val="0"/>
      <w:marTop w:val="0"/>
      <w:marBottom w:val="0"/>
      <w:divBdr>
        <w:top w:val="none" w:sz="0" w:space="0" w:color="auto"/>
        <w:left w:val="none" w:sz="0" w:space="0" w:color="auto"/>
        <w:bottom w:val="none" w:sz="0" w:space="0" w:color="auto"/>
        <w:right w:val="none" w:sz="0" w:space="0" w:color="auto"/>
      </w:divBdr>
      <w:divsChild>
        <w:div w:id="689721013">
          <w:marLeft w:val="0"/>
          <w:marRight w:val="0"/>
          <w:marTop w:val="0"/>
          <w:marBottom w:val="0"/>
          <w:divBdr>
            <w:top w:val="none" w:sz="0" w:space="0" w:color="auto"/>
            <w:left w:val="none" w:sz="0" w:space="0" w:color="auto"/>
            <w:bottom w:val="none" w:sz="0" w:space="0" w:color="auto"/>
            <w:right w:val="none" w:sz="0" w:space="0" w:color="auto"/>
          </w:divBdr>
          <w:divsChild>
            <w:div w:id="834805790">
              <w:marLeft w:val="0"/>
              <w:marRight w:val="0"/>
              <w:marTop w:val="0"/>
              <w:marBottom w:val="0"/>
              <w:divBdr>
                <w:top w:val="none" w:sz="0" w:space="0" w:color="auto"/>
                <w:left w:val="none" w:sz="0" w:space="0" w:color="auto"/>
                <w:bottom w:val="none" w:sz="0" w:space="0" w:color="auto"/>
                <w:right w:val="none" w:sz="0" w:space="0" w:color="auto"/>
              </w:divBdr>
              <w:divsChild>
                <w:div w:id="6615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532114">
      <w:bodyDiv w:val="1"/>
      <w:marLeft w:val="0"/>
      <w:marRight w:val="0"/>
      <w:marTop w:val="0"/>
      <w:marBottom w:val="0"/>
      <w:divBdr>
        <w:top w:val="none" w:sz="0" w:space="0" w:color="auto"/>
        <w:left w:val="none" w:sz="0" w:space="0" w:color="auto"/>
        <w:bottom w:val="none" w:sz="0" w:space="0" w:color="auto"/>
        <w:right w:val="none" w:sz="0" w:space="0" w:color="auto"/>
      </w:divBdr>
      <w:divsChild>
        <w:div w:id="1780640403">
          <w:marLeft w:val="0"/>
          <w:marRight w:val="0"/>
          <w:marTop w:val="0"/>
          <w:marBottom w:val="0"/>
          <w:divBdr>
            <w:top w:val="none" w:sz="0" w:space="0" w:color="auto"/>
            <w:left w:val="none" w:sz="0" w:space="0" w:color="auto"/>
            <w:bottom w:val="none" w:sz="0" w:space="0" w:color="auto"/>
            <w:right w:val="none" w:sz="0" w:space="0" w:color="auto"/>
          </w:divBdr>
          <w:divsChild>
            <w:div w:id="132257946">
              <w:marLeft w:val="0"/>
              <w:marRight w:val="0"/>
              <w:marTop w:val="0"/>
              <w:marBottom w:val="0"/>
              <w:divBdr>
                <w:top w:val="none" w:sz="0" w:space="0" w:color="auto"/>
                <w:left w:val="none" w:sz="0" w:space="0" w:color="auto"/>
                <w:bottom w:val="none" w:sz="0" w:space="0" w:color="auto"/>
                <w:right w:val="none" w:sz="0" w:space="0" w:color="auto"/>
              </w:divBdr>
              <w:divsChild>
                <w:div w:id="34000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788966">
      <w:bodyDiv w:val="1"/>
      <w:marLeft w:val="0"/>
      <w:marRight w:val="0"/>
      <w:marTop w:val="0"/>
      <w:marBottom w:val="0"/>
      <w:divBdr>
        <w:top w:val="none" w:sz="0" w:space="0" w:color="auto"/>
        <w:left w:val="none" w:sz="0" w:space="0" w:color="auto"/>
        <w:bottom w:val="none" w:sz="0" w:space="0" w:color="auto"/>
        <w:right w:val="none" w:sz="0" w:space="0" w:color="auto"/>
      </w:divBdr>
      <w:divsChild>
        <w:div w:id="1564755560">
          <w:marLeft w:val="0"/>
          <w:marRight w:val="0"/>
          <w:marTop w:val="0"/>
          <w:marBottom w:val="0"/>
          <w:divBdr>
            <w:top w:val="none" w:sz="0" w:space="0" w:color="auto"/>
            <w:left w:val="none" w:sz="0" w:space="0" w:color="auto"/>
            <w:bottom w:val="none" w:sz="0" w:space="0" w:color="auto"/>
            <w:right w:val="none" w:sz="0" w:space="0" w:color="auto"/>
          </w:divBdr>
          <w:divsChild>
            <w:div w:id="165831282">
              <w:marLeft w:val="0"/>
              <w:marRight w:val="0"/>
              <w:marTop w:val="0"/>
              <w:marBottom w:val="0"/>
              <w:divBdr>
                <w:top w:val="none" w:sz="0" w:space="0" w:color="auto"/>
                <w:left w:val="none" w:sz="0" w:space="0" w:color="auto"/>
                <w:bottom w:val="none" w:sz="0" w:space="0" w:color="auto"/>
                <w:right w:val="none" w:sz="0" w:space="0" w:color="auto"/>
              </w:divBdr>
              <w:divsChild>
                <w:div w:id="136867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11484">
      <w:bodyDiv w:val="1"/>
      <w:marLeft w:val="0"/>
      <w:marRight w:val="0"/>
      <w:marTop w:val="0"/>
      <w:marBottom w:val="0"/>
      <w:divBdr>
        <w:top w:val="none" w:sz="0" w:space="0" w:color="auto"/>
        <w:left w:val="none" w:sz="0" w:space="0" w:color="auto"/>
        <w:bottom w:val="none" w:sz="0" w:space="0" w:color="auto"/>
        <w:right w:val="none" w:sz="0" w:space="0" w:color="auto"/>
      </w:divBdr>
      <w:divsChild>
        <w:div w:id="120806151">
          <w:marLeft w:val="0"/>
          <w:marRight w:val="0"/>
          <w:marTop w:val="0"/>
          <w:marBottom w:val="0"/>
          <w:divBdr>
            <w:top w:val="none" w:sz="0" w:space="0" w:color="auto"/>
            <w:left w:val="none" w:sz="0" w:space="0" w:color="auto"/>
            <w:bottom w:val="none" w:sz="0" w:space="0" w:color="auto"/>
            <w:right w:val="none" w:sz="0" w:space="0" w:color="auto"/>
          </w:divBdr>
          <w:divsChild>
            <w:div w:id="570580562">
              <w:marLeft w:val="0"/>
              <w:marRight w:val="0"/>
              <w:marTop w:val="0"/>
              <w:marBottom w:val="0"/>
              <w:divBdr>
                <w:top w:val="none" w:sz="0" w:space="0" w:color="auto"/>
                <w:left w:val="none" w:sz="0" w:space="0" w:color="auto"/>
                <w:bottom w:val="none" w:sz="0" w:space="0" w:color="auto"/>
                <w:right w:val="none" w:sz="0" w:space="0" w:color="auto"/>
              </w:divBdr>
              <w:divsChild>
                <w:div w:id="19039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1062</Words>
  <Characters>6054</Characters>
  <Application>Microsoft Office Word</Application>
  <DocSecurity>0</DocSecurity>
  <Lines>50</Lines>
  <Paragraphs>14</Paragraphs>
  <ScaleCrop>false</ScaleCrop>
  <Company>china</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2016-10-11T07:19:00Z</dcterms:created>
  <dcterms:modified xsi:type="dcterms:W3CDTF">2016-10-11T07:19:00Z</dcterms:modified>
</cp:coreProperties>
</file>